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1967" w14:textId="77777777" w:rsidR="00DD2A2B" w:rsidRPr="00732A9E" w:rsidRDefault="00DD2A2B" w:rsidP="00DD2A2B">
      <w:pPr>
        <w:spacing w:after="0" w:line="360" w:lineRule="exact"/>
        <w:jc w:val="right"/>
        <w:rPr>
          <w:rFonts w:ascii="ＭＳ 明朝" w:eastAsia="ＭＳ 明朝" w:hAnsi="ＭＳ 明朝"/>
          <w:sz w:val="24"/>
          <w:szCs w:val="24"/>
          <w:lang w:eastAsia="ja-JP"/>
        </w:rPr>
      </w:pPr>
      <w:r w:rsidRPr="00732A9E">
        <w:rPr>
          <w:rFonts w:ascii="ＭＳ 明朝" w:eastAsia="ＭＳ 明朝" w:hAnsi="ＭＳ 明朝" w:hint="eastAsia"/>
          <w:sz w:val="24"/>
          <w:szCs w:val="24"/>
          <w:lang w:eastAsia="ja-JP"/>
        </w:rPr>
        <w:t>（別添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>１</w:t>
      </w:r>
      <w:r w:rsidRPr="00732A9E">
        <w:rPr>
          <w:rFonts w:ascii="ＭＳ 明朝" w:eastAsia="ＭＳ 明朝" w:hAnsi="ＭＳ 明朝" w:hint="eastAsia"/>
          <w:sz w:val="24"/>
          <w:szCs w:val="24"/>
          <w:lang w:eastAsia="ja-JP"/>
        </w:rPr>
        <w:t>）</w:t>
      </w:r>
    </w:p>
    <w:p w14:paraId="6C9B46BA" w14:textId="77777777" w:rsidR="00DD2A2B" w:rsidRDefault="00DD2A2B" w:rsidP="00DD2A2B">
      <w:pPr>
        <w:spacing w:after="0" w:line="360" w:lineRule="exact"/>
        <w:jc w:val="center"/>
        <w:rPr>
          <w:rFonts w:ascii="ＭＳ ゴシック" w:hAnsi="ＭＳ ゴシック"/>
          <w:sz w:val="24"/>
          <w:szCs w:val="24"/>
          <w:lang w:eastAsia="ja-JP"/>
        </w:rPr>
      </w:pPr>
    </w:p>
    <w:p w14:paraId="1BF54442" w14:textId="13324E35" w:rsidR="00DD2A2B" w:rsidRPr="00CF3133" w:rsidRDefault="00DD2A2B" w:rsidP="00DD2A2B">
      <w:pPr>
        <w:spacing w:after="0" w:line="360" w:lineRule="exact"/>
        <w:jc w:val="center"/>
        <w:rPr>
          <w:rFonts w:ascii="ＭＳ ゴシック" w:hAnsi="ＭＳ ゴシック"/>
          <w:sz w:val="24"/>
          <w:szCs w:val="24"/>
          <w:lang w:eastAsia="ja-JP"/>
        </w:rPr>
      </w:pPr>
      <w:r w:rsidRPr="00585DF9">
        <w:rPr>
          <w:rFonts w:ascii="ＭＳ ゴシック" w:hAnsi="ＭＳ ゴシック" w:hint="eastAsia"/>
          <w:sz w:val="24"/>
          <w:szCs w:val="24"/>
          <w:lang w:eastAsia="ja-JP"/>
        </w:rPr>
        <w:t>国税庁</w:t>
      </w:r>
      <w:r w:rsidRPr="00367D7A">
        <w:rPr>
          <w:rFonts w:ascii="ＭＳ ゴシック" w:hAnsi="ＭＳ ゴシック" w:hint="eastAsia"/>
          <w:sz w:val="24"/>
          <w:szCs w:val="24"/>
          <w:lang w:eastAsia="ja-JP"/>
        </w:rPr>
        <w:t>ホームページ</w:t>
      </w:r>
      <w:r w:rsidRPr="00CF3133">
        <w:rPr>
          <w:rFonts w:ascii="ＭＳ ゴシック" w:hAnsi="ＭＳ ゴシック" w:hint="eastAsia"/>
          <w:sz w:val="24"/>
          <w:szCs w:val="24"/>
          <w:lang w:eastAsia="ja-JP"/>
        </w:rPr>
        <w:t>等のＵＲＬ</w:t>
      </w:r>
      <w:r>
        <w:rPr>
          <w:rFonts w:ascii="ＭＳ ゴシック" w:hAnsi="ＭＳ ゴシック" w:hint="eastAsia"/>
          <w:sz w:val="24"/>
          <w:szCs w:val="24"/>
          <w:lang w:eastAsia="ja-JP"/>
        </w:rPr>
        <w:t>・</w:t>
      </w:r>
      <w:r w:rsidRPr="00367D7A">
        <w:rPr>
          <w:rFonts w:ascii="ＭＳ ゴシック" w:hAnsi="ＭＳ ゴシック" w:hint="eastAsia"/>
          <w:sz w:val="24"/>
          <w:szCs w:val="24"/>
          <w:lang w:eastAsia="ja-JP"/>
        </w:rPr>
        <w:t>リンク用バナー</w:t>
      </w:r>
      <w:r>
        <w:rPr>
          <w:rFonts w:ascii="ＭＳ ゴシック" w:hAnsi="ＭＳ ゴシック" w:hint="eastAsia"/>
          <w:sz w:val="24"/>
          <w:szCs w:val="24"/>
          <w:lang w:eastAsia="ja-JP"/>
        </w:rPr>
        <w:t>・</w:t>
      </w:r>
      <w:r w:rsidRPr="00367D7A">
        <w:rPr>
          <w:rFonts w:ascii="ＭＳ ゴシック" w:hAnsi="ＭＳ ゴシック" w:hint="eastAsia"/>
          <w:sz w:val="24"/>
          <w:szCs w:val="24"/>
          <w:lang w:eastAsia="ja-JP"/>
        </w:rPr>
        <w:t>ＱＲコード</w:t>
      </w:r>
    </w:p>
    <w:p w14:paraId="2B486707" w14:textId="77777777" w:rsidR="00DD2A2B" w:rsidRPr="00CF3133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</w:p>
    <w:p w14:paraId="4610A6B7" w14:textId="77777777" w:rsidR="00DD2A2B" w:rsidRPr="00CF3133" w:rsidRDefault="00DD2A2B" w:rsidP="00DD2A2B">
      <w:pPr>
        <w:spacing w:after="0" w:line="360" w:lineRule="exact"/>
        <w:jc w:val="both"/>
        <w:rPr>
          <w:rFonts w:ascii="ＭＳ ゴシック" w:hAnsi="ＭＳ ゴシック"/>
          <w:sz w:val="20"/>
          <w:szCs w:val="20"/>
          <w:lang w:eastAsia="ja-JP"/>
        </w:rPr>
      </w:pPr>
    </w:p>
    <w:p w14:paraId="07D89F7D" w14:textId="77777777" w:rsidR="00DD2A2B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  <w:r>
        <w:rPr>
          <w:rFonts w:ascii="ＭＳ ゴシック" w:hAnsi="ＭＳ ゴシック" w:hint="eastAsia"/>
          <w:sz w:val="24"/>
          <w:szCs w:val="24"/>
          <w:lang w:eastAsia="ja-JP"/>
        </w:rPr>
        <w:t>１　所得税の基礎控除の見直し等に関する特設サイト</w:t>
      </w:r>
    </w:p>
    <w:p w14:paraId="1C6B2C32" w14:textId="77777777" w:rsidR="00DD2A2B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  <w:r>
        <w:rPr>
          <w:rFonts w:ascii="ＭＳ ゴシック" w:hAnsi="ＭＳ ゴシック" w:hint="eastAsia"/>
          <w:sz w:val="24"/>
          <w:szCs w:val="24"/>
          <w:lang w:eastAsia="ja-JP"/>
        </w:rPr>
        <w:t xml:space="preserve">　　</w:t>
      </w:r>
      <w:hyperlink r:id="rId6" w:history="1">
        <w:r w:rsidRPr="007031BF">
          <w:rPr>
            <w:rStyle w:val="a3"/>
            <w:rFonts w:ascii="ＭＳ ゴシック" w:hAnsi="ＭＳ ゴシック"/>
            <w:sz w:val="24"/>
            <w:szCs w:val="24"/>
            <w:lang w:eastAsia="ja-JP"/>
          </w:rPr>
          <w:t>https://www.nta.go.jp/users/gensen/2025kiso/index.htm</w:t>
        </w:r>
      </w:hyperlink>
    </w:p>
    <w:p w14:paraId="568B2CF7" w14:textId="77777777" w:rsidR="00DD2A2B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</w:p>
    <w:p w14:paraId="3448DF6A" w14:textId="77777777" w:rsidR="00DD2A2B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  <w:r>
        <w:rPr>
          <w:rFonts w:ascii="ＭＳ ゴシック" w:hAnsi="ＭＳ ゴシック" w:hint="eastAsia"/>
          <w:sz w:val="24"/>
          <w:szCs w:val="24"/>
          <w:lang w:eastAsia="ja-JP"/>
        </w:rPr>
        <w:t>２　年末調整がよくわかるページ</w:t>
      </w:r>
    </w:p>
    <w:p w14:paraId="6AAFBD9F" w14:textId="2D28E25E" w:rsidR="00DD2A2B" w:rsidRPr="00CF3133" w:rsidRDefault="00DD2A2B" w:rsidP="00DD2A2B">
      <w:pPr>
        <w:spacing w:after="0" w:line="360" w:lineRule="exact"/>
        <w:jc w:val="both"/>
        <w:rPr>
          <w:rFonts w:ascii="ＭＳ 明朝" w:eastAsia="ＭＳ 明朝" w:hAnsi="ＭＳ 明朝"/>
          <w:sz w:val="21"/>
          <w:szCs w:val="21"/>
          <w:lang w:eastAsia="ja-JP"/>
        </w:rPr>
      </w:pPr>
      <w:r w:rsidRPr="00CF3133">
        <w:rPr>
          <w:rFonts w:ascii="ＭＳ ゴシック" w:hAnsi="ＭＳ ゴシック" w:hint="eastAsia"/>
          <w:sz w:val="21"/>
          <w:szCs w:val="21"/>
          <w:lang w:eastAsia="ja-JP"/>
        </w:rPr>
        <w:t xml:space="preserve">　</w:t>
      </w:r>
      <w:r w:rsidR="00981E36">
        <w:rPr>
          <w:rFonts w:ascii="ＭＳ ゴシック" w:hAnsi="ＭＳ ゴシック" w:hint="eastAsia"/>
          <w:sz w:val="21"/>
          <w:szCs w:val="21"/>
          <w:lang w:eastAsia="ja-JP"/>
        </w:rPr>
        <w:t xml:space="preserve">　 </w:t>
      </w:r>
      <w:r w:rsidRPr="00CF3133">
        <w:rPr>
          <w:rFonts w:ascii="ＭＳ 明朝" w:eastAsia="ＭＳ 明朝" w:hAnsi="ＭＳ 明朝" w:hint="eastAsia"/>
          <w:sz w:val="20"/>
          <w:szCs w:val="20"/>
          <w:lang w:eastAsia="ja-JP"/>
        </w:rPr>
        <w:t>※</w:t>
      </w:r>
      <w:r w:rsidR="00981E36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</w:t>
      </w:r>
      <w:r w:rsidRPr="00CF3133">
        <w:rPr>
          <w:rFonts w:ascii="ＭＳ 明朝" w:eastAsia="ＭＳ 明朝" w:hAnsi="ＭＳ 明朝" w:hint="eastAsia"/>
          <w:sz w:val="20"/>
          <w:szCs w:val="20"/>
          <w:lang w:eastAsia="ja-JP"/>
        </w:rPr>
        <w:t>令和７年分については、令和７年９月下旬に更新予定</w:t>
      </w:r>
      <w:r w:rsidR="00981E36">
        <w:rPr>
          <w:rFonts w:ascii="ＭＳ 明朝" w:eastAsia="ＭＳ 明朝" w:hAnsi="ＭＳ 明朝" w:hint="eastAsia"/>
          <w:sz w:val="20"/>
          <w:szCs w:val="20"/>
          <w:lang w:eastAsia="ja-JP"/>
        </w:rPr>
        <w:t>です。</w:t>
      </w:r>
    </w:p>
    <w:p w14:paraId="730A6DFA" w14:textId="77777777" w:rsidR="00DD2A2B" w:rsidRPr="00367D7A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  <w:r w:rsidRPr="00CF3133">
        <w:rPr>
          <w:rFonts w:ascii="ＭＳ ゴシック" w:hAnsi="ＭＳ ゴシック" w:hint="eastAsia"/>
          <w:sz w:val="24"/>
          <w:szCs w:val="24"/>
          <w:lang w:eastAsia="ja-JP"/>
        </w:rPr>
        <w:t xml:space="preserve">　　</w:t>
      </w:r>
      <w:hyperlink r:id="rId7" w:history="1">
        <w:r w:rsidRPr="00CF3133">
          <w:rPr>
            <w:rStyle w:val="a3"/>
            <w:rFonts w:ascii="ＭＳ ゴシック" w:hAnsi="ＭＳ ゴシック"/>
            <w:sz w:val="24"/>
            <w:szCs w:val="24"/>
            <w:lang w:eastAsia="ja-JP"/>
          </w:rPr>
          <w:t>https://www.nta.go.jp/users/gensen/nencho/index.htm</w:t>
        </w:r>
      </w:hyperlink>
    </w:p>
    <w:p w14:paraId="046CE59C" w14:textId="2546E6AF" w:rsidR="0087383F" w:rsidRDefault="00DD2A2B">
      <w:pPr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8FD443A" wp14:editId="17DB5EFC">
            <wp:simplePos x="0" y="0"/>
            <wp:positionH relativeFrom="column">
              <wp:posOffset>3528840</wp:posOffset>
            </wp:positionH>
            <wp:positionV relativeFrom="paragraph">
              <wp:posOffset>60960</wp:posOffset>
            </wp:positionV>
            <wp:extent cx="1188085" cy="1188085"/>
            <wp:effectExtent l="0" t="0" r="0" b="0"/>
            <wp:wrapNone/>
            <wp:docPr id="17" name="図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65408" behindDoc="0" locked="0" layoutInCell="1" allowOverlap="1" wp14:anchorId="4BC17327" wp14:editId="52F385B6">
            <wp:simplePos x="0" y="0"/>
            <wp:positionH relativeFrom="column">
              <wp:posOffset>3521710</wp:posOffset>
            </wp:positionH>
            <wp:positionV relativeFrom="paragraph">
              <wp:posOffset>60325</wp:posOffset>
            </wp:positionV>
            <wp:extent cx="1200150" cy="12001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64384" behindDoc="0" locked="0" layoutInCell="1" allowOverlap="1" wp14:anchorId="3A87AA2E" wp14:editId="1EBDEEF0">
            <wp:simplePos x="0" y="0"/>
            <wp:positionH relativeFrom="column">
              <wp:posOffset>270510</wp:posOffset>
            </wp:positionH>
            <wp:positionV relativeFrom="paragraph">
              <wp:posOffset>200025</wp:posOffset>
            </wp:positionV>
            <wp:extent cx="2324100" cy="4953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A70C82" w14:textId="15388CEF" w:rsidR="00DD2A2B" w:rsidRDefault="00DD2A2B">
      <w:pPr>
        <w:rPr>
          <w:lang w:eastAsia="ja-JP"/>
        </w:rPr>
      </w:pPr>
    </w:p>
    <w:p w14:paraId="1770D65C" w14:textId="47748353" w:rsidR="00DD2A2B" w:rsidRDefault="00DD2A2B">
      <w:pPr>
        <w:rPr>
          <w:lang w:eastAsia="ja-JP"/>
        </w:rPr>
      </w:pPr>
    </w:p>
    <w:p w14:paraId="5BDEE423" w14:textId="77777777" w:rsidR="00DD2A2B" w:rsidRDefault="00DD2A2B">
      <w:pPr>
        <w:rPr>
          <w:lang w:eastAsia="ja-JP"/>
        </w:rPr>
      </w:pPr>
    </w:p>
    <w:p w14:paraId="1DE02ABE" w14:textId="77777777" w:rsidR="00DD2A2B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  <w:bookmarkStart w:id="0" w:name="_Hlk204260697"/>
      <w:r>
        <w:rPr>
          <w:rFonts w:ascii="ＭＳ ゴシック" w:hAnsi="ＭＳ ゴシック" w:hint="eastAsia"/>
          <w:sz w:val="24"/>
          <w:szCs w:val="24"/>
          <w:lang w:eastAsia="ja-JP"/>
        </w:rPr>
        <w:t>３　年末調整手続の電子化に向けた取組について</w:t>
      </w:r>
    </w:p>
    <w:bookmarkEnd w:id="0"/>
    <w:p w14:paraId="3BD484D4" w14:textId="0C012A79" w:rsidR="00DD2A2B" w:rsidRPr="00CF3133" w:rsidRDefault="0005465B" w:rsidP="00DD2A2B">
      <w:pPr>
        <w:rPr>
          <w:rFonts w:ascii="ＭＳ ゴシック" w:hAnsi="ＭＳ ゴシック"/>
          <w:lang w:eastAsia="ja-JP"/>
        </w:rPr>
      </w:pPr>
      <w:r w:rsidRPr="00367D7A">
        <w:rPr>
          <w:rFonts w:ascii="ＭＳ ゴシック" w:hAnsi="ＭＳ ゴシック"/>
          <w:noProof/>
        </w:rPr>
        <w:drawing>
          <wp:anchor distT="0" distB="0" distL="114300" distR="114300" simplePos="0" relativeHeight="251659264" behindDoc="0" locked="0" layoutInCell="1" allowOverlap="1" wp14:anchorId="5F3E9C50" wp14:editId="72BBA357">
            <wp:simplePos x="0" y="0"/>
            <wp:positionH relativeFrom="column">
              <wp:posOffset>3454545</wp:posOffset>
            </wp:positionH>
            <wp:positionV relativeFrom="paragraph">
              <wp:posOffset>270510</wp:posOffset>
            </wp:positionV>
            <wp:extent cx="1227455" cy="13716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24" t="29474" r="55923" b="52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A2B">
        <w:rPr>
          <w:rFonts w:hint="eastAsia"/>
          <w:lang w:eastAsia="ja-JP"/>
        </w:rPr>
        <w:t xml:space="preserve">　　</w:t>
      </w:r>
      <w:hyperlink r:id="rId12" w:history="1">
        <w:r w:rsidR="00DD2A2B" w:rsidRPr="00CF3133">
          <w:rPr>
            <w:rStyle w:val="a3"/>
            <w:rFonts w:ascii="ＭＳ ゴシック" w:hAnsi="ＭＳ ゴシック"/>
            <w:sz w:val="24"/>
            <w:szCs w:val="24"/>
            <w:lang w:eastAsia="ja-JP"/>
          </w:rPr>
          <w:t>https://www.nta.go.jp/users/gensen/nenmatsu/nencho.htm</w:t>
        </w:r>
      </w:hyperlink>
    </w:p>
    <w:p w14:paraId="62F88FA2" w14:textId="70689C55" w:rsidR="00DD2A2B" w:rsidRPr="00C70115" w:rsidRDefault="00DD2A2B" w:rsidP="00DD2A2B">
      <w:pPr>
        <w:ind w:firstLineChars="200" w:firstLine="440"/>
        <w:rPr>
          <w:lang w:eastAsia="ja-JP"/>
        </w:rPr>
      </w:pPr>
      <w:r>
        <w:rPr>
          <w:noProof/>
        </w:rPr>
        <w:drawing>
          <wp:inline distT="0" distB="0" distL="0" distR="0" wp14:anchorId="4755B8D5" wp14:editId="4E1E0312">
            <wp:extent cx="2371725" cy="697230"/>
            <wp:effectExtent l="0" t="0" r="9525" b="762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B12CA" w14:textId="77777777" w:rsidR="00DD2A2B" w:rsidRDefault="00DD2A2B" w:rsidP="00DD2A2B">
      <w:pPr>
        <w:rPr>
          <w:lang w:eastAsia="ja-JP"/>
        </w:rPr>
      </w:pPr>
    </w:p>
    <w:p w14:paraId="61FCC086" w14:textId="77777777" w:rsidR="00DD2A2B" w:rsidRPr="00CF3133" w:rsidRDefault="00DD2A2B" w:rsidP="00DD2A2B">
      <w:pPr>
        <w:spacing w:after="0" w:line="360" w:lineRule="exact"/>
        <w:ind w:leftChars="200" w:left="640" w:hangingChars="100" w:hanging="200"/>
        <w:rPr>
          <w:rFonts w:ascii="ＭＳ 明朝" w:eastAsia="ＭＳ 明朝" w:hAnsi="ＭＳ 明朝"/>
          <w:sz w:val="20"/>
          <w:szCs w:val="20"/>
          <w:lang w:eastAsia="ja-JP"/>
        </w:rPr>
      </w:pPr>
      <w:r w:rsidRPr="00CF3133">
        <w:rPr>
          <w:rFonts w:ascii="ＭＳ 明朝" w:eastAsia="ＭＳ 明朝" w:hAnsi="ＭＳ 明朝" w:hint="eastAsia"/>
          <w:sz w:val="20"/>
          <w:szCs w:val="20"/>
          <w:lang w:eastAsia="ja-JP"/>
        </w:rPr>
        <w:t>※　上記「年末調整がよくわかるページ」及び「年末調整手続の電子化に向けた取組について」のリンク用バナーにつきましては、「年末調整がよくわかるページ」にも掲載しておりますので、御利用ください。</w:t>
      </w:r>
    </w:p>
    <w:p w14:paraId="3872B94F" w14:textId="77777777" w:rsidR="00DD2A2B" w:rsidRDefault="00DD2A2B" w:rsidP="00DD2A2B">
      <w:pPr>
        <w:spacing w:after="0" w:line="360" w:lineRule="exact"/>
        <w:ind w:leftChars="300" w:left="880" w:hangingChars="100" w:hanging="220"/>
        <w:rPr>
          <w:rFonts w:ascii="ＭＳ 明朝" w:eastAsia="ＭＳ 明朝" w:hAnsi="ＭＳ 明朝"/>
          <w:lang w:eastAsia="ja-JP"/>
        </w:rPr>
      </w:pPr>
    </w:p>
    <w:p w14:paraId="243BE35E" w14:textId="77777777" w:rsidR="00DD2A2B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  <w:r>
        <w:rPr>
          <w:rFonts w:ascii="ＭＳ ゴシック" w:hAnsi="ＭＳ ゴシック" w:hint="eastAsia"/>
          <w:sz w:val="24"/>
          <w:szCs w:val="24"/>
          <w:lang w:eastAsia="ja-JP"/>
        </w:rPr>
        <w:t xml:space="preserve">４　</w:t>
      </w:r>
      <w:r w:rsidRPr="001127C7">
        <w:rPr>
          <w:rFonts w:ascii="ＭＳ ゴシック" w:hAnsi="ＭＳ ゴシック" w:hint="eastAsia"/>
          <w:sz w:val="24"/>
          <w:szCs w:val="24"/>
          <w:lang w:eastAsia="ja-JP"/>
        </w:rPr>
        <w:t>源泉所得税の納付手続（キャッシュレス納付）</w:t>
      </w:r>
    </w:p>
    <w:p w14:paraId="288E548F" w14:textId="77777777" w:rsidR="00DD2A2B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  <w:r>
        <w:rPr>
          <w:rFonts w:ascii="ＭＳ ゴシック" w:hAnsi="ＭＳ ゴシック" w:hint="eastAsia"/>
          <w:sz w:val="24"/>
          <w:szCs w:val="24"/>
          <w:lang w:eastAsia="ja-JP"/>
        </w:rPr>
        <w:t xml:space="preserve">　　</w:t>
      </w:r>
      <w:hyperlink r:id="rId14" w:history="1">
        <w:r w:rsidRPr="00FC2773">
          <w:rPr>
            <w:rStyle w:val="a3"/>
            <w:rFonts w:ascii="ＭＳ ゴシック" w:hAnsi="ＭＳ ゴシック"/>
            <w:sz w:val="24"/>
            <w:szCs w:val="24"/>
            <w:lang w:eastAsia="ja-JP"/>
          </w:rPr>
          <w:t>https://www.nta.go.jp/users/gensen/nencho/index/gensen_nouzei/cashless.htm</w:t>
        </w:r>
      </w:hyperlink>
    </w:p>
    <w:p w14:paraId="774EA965" w14:textId="4AA06581" w:rsidR="00DD2A2B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  <w:r>
        <w:rPr>
          <w:rFonts w:ascii="ＭＳ ゴシック" w:hAnsi="ＭＳ ゴシック"/>
          <w:noProof/>
          <w:sz w:val="24"/>
          <w:szCs w:val="24"/>
          <w:lang w:eastAsia="ja-JP"/>
        </w:rPr>
        <w:drawing>
          <wp:anchor distT="0" distB="0" distL="114300" distR="114300" simplePos="0" relativeHeight="251663360" behindDoc="0" locked="0" layoutInCell="1" allowOverlap="1" wp14:anchorId="7FFF8572" wp14:editId="6B9EFDB2">
            <wp:simplePos x="0" y="0"/>
            <wp:positionH relativeFrom="column">
              <wp:posOffset>184150</wp:posOffset>
            </wp:positionH>
            <wp:positionV relativeFrom="paragraph">
              <wp:posOffset>64770</wp:posOffset>
            </wp:positionV>
            <wp:extent cx="1153160" cy="1143000"/>
            <wp:effectExtent l="0" t="0" r="889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5716B" w14:textId="1D2F2B68" w:rsidR="00DD2A2B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</w:p>
    <w:p w14:paraId="35A0EFE7" w14:textId="7A203074" w:rsidR="00981E36" w:rsidRDefault="00981E36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</w:p>
    <w:p w14:paraId="3FEFD38B" w14:textId="77777777" w:rsidR="00981E36" w:rsidRDefault="00981E36" w:rsidP="00DD2A2B">
      <w:pPr>
        <w:spacing w:after="0" w:line="360" w:lineRule="exact"/>
        <w:jc w:val="both"/>
        <w:rPr>
          <w:rFonts w:ascii="ＭＳ ゴシック" w:hAnsi="ＭＳ ゴシック" w:hint="eastAsia"/>
          <w:sz w:val="24"/>
          <w:szCs w:val="24"/>
          <w:lang w:eastAsia="ja-JP"/>
        </w:rPr>
      </w:pPr>
    </w:p>
    <w:p w14:paraId="1B8BC828" w14:textId="77777777" w:rsidR="00DD2A2B" w:rsidRPr="00CF3133" w:rsidRDefault="00DD2A2B" w:rsidP="00DD2A2B">
      <w:pPr>
        <w:spacing w:after="0" w:line="360" w:lineRule="exact"/>
        <w:jc w:val="both"/>
        <w:rPr>
          <w:rFonts w:ascii="ＭＳ ゴシック" w:hAnsi="ＭＳ ゴシック"/>
          <w:spacing w:val="11"/>
          <w:w w:val="79"/>
          <w:sz w:val="24"/>
          <w:szCs w:val="24"/>
          <w:lang w:eastAsia="ja-JP"/>
        </w:rPr>
      </w:pPr>
      <w:r>
        <w:rPr>
          <w:rFonts w:ascii="ＭＳ ゴシック" w:hAnsi="ＭＳ ゴシック" w:hint="eastAsia"/>
          <w:sz w:val="24"/>
          <w:szCs w:val="24"/>
          <w:lang w:eastAsia="ja-JP"/>
        </w:rPr>
        <w:lastRenderedPageBreak/>
        <w:t>５</w:t>
      </w:r>
      <w:r w:rsidRPr="00CF3133">
        <w:rPr>
          <w:rFonts w:ascii="ＭＳ ゴシック" w:hAnsi="ＭＳ ゴシック" w:hint="eastAsia"/>
          <w:sz w:val="24"/>
          <w:szCs w:val="24"/>
          <w:lang w:eastAsia="ja-JP"/>
        </w:rPr>
        <w:t xml:space="preserve">　</w:t>
      </w:r>
      <w:r w:rsidRPr="00CF3133">
        <w:rPr>
          <w:rFonts w:ascii="ＭＳ ゴシック" w:hAnsi="ＭＳ ゴシック" w:hint="eastAsia"/>
          <w:color w:val="333333"/>
          <w:sz w:val="24"/>
          <w:szCs w:val="24"/>
          <w:shd w:val="clear" w:color="auto" w:fill="FFFFFF"/>
          <w:lang w:eastAsia="ja-JP"/>
        </w:rPr>
        <w:t>給与所得の源泉徴収票をe-Taxで提出すると従業員の方の確定申告がさらに簡単に!!</w:t>
      </w:r>
      <w:r w:rsidRPr="00CF3133" w:rsidDel="00C27678">
        <w:rPr>
          <w:rFonts w:ascii="ＭＳ ゴシック" w:hAnsi="ＭＳ ゴシック" w:hint="eastAsia"/>
          <w:sz w:val="24"/>
          <w:szCs w:val="24"/>
          <w:lang w:eastAsia="ja-JP"/>
        </w:rPr>
        <w:t xml:space="preserve"> </w:t>
      </w:r>
    </w:p>
    <w:p w14:paraId="5C8A5AE8" w14:textId="77777777" w:rsidR="00DD2A2B" w:rsidRPr="00CF3133" w:rsidRDefault="00DD2A2B" w:rsidP="00DD2A2B">
      <w:pPr>
        <w:spacing w:after="0"/>
        <w:rPr>
          <w:rFonts w:ascii="ＭＳ ゴシック" w:hAnsi="ＭＳ ゴシック"/>
          <w:w w:val="79"/>
          <w:sz w:val="24"/>
          <w:szCs w:val="24"/>
          <w:lang w:eastAsia="ja-JP"/>
        </w:rPr>
      </w:pPr>
      <w:r>
        <w:rPr>
          <w:rFonts w:ascii="ＭＳ ゴシック" w:hAnsi="ＭＳ ゴシック" w:hint="eastAsia"/>
          <w:spacing w:val="11"/>
          <w:w w:val="79"/>
          <w:sz w:val="24"/>
          <w:szCs w:val="24"/>
          <w:lang w:eastAsia="ja-JP"/>
        </w:rPr>
        <w:t xml:space="preserve">　　</w:t>
      </w:r>
      <w:hyperlink r:id="rId16" w:history="1">
        <w:r w:rsidRPr="00FC2773">
          <w:rPr>
            <w:rStyle w:val="a3"/>
            <w:rFonts w:ascii="ＭＳ ゴシック" w:hAnsi="ＭＳ ゴシック"/>
            <w:sz w:val="24"/>
            <w:szCs w:val="24"/>
            <w:lang w:eastAsia="ja-JP"/>
          </w:rPr>
          <w:t>https://www.nta.go.jp/taxes/tetsuzuki/mynumberinfo/pdf/0025004-071.pdf</w:t>
        </w:r>
      </w:hyperlink>
    </w:p>
    <w:p w14:paraId="42CE4ED9" w14:textId="1DA05DD4" w:rsidR="00DD2A2B" w:rsidRPr="00E63B6B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  <w:r>
        <w:rPr>
          <w:rFonts w:ascii="ＭＳ ゴシック" w:hAnsi="ＭＳ ゴシック" w:hint="eastAsia"/>
          <w:noProof/>
          <w:sz w:val="24"/>
          <w:szCs w:val="24"/>
          <w:lang w:eastAsia="ja-JP"/>
        </w:rPr>
        <w:drawing>
          <wp:anchor distT="0" distB="0" distL="114300" distR="114300" simplePos="0" relativeHeight="251661312" behindDoc="0" locked="0" layoutInCell="1" allowOverlap="1" wp14:anchorId="08AF6532" wp14:editId="63B12334">
            <wp:simplePos x="0" y="0"/>
            <wp:positionH relativeFrom="column">
              <wp:posOffset>190500</wp:posOffset>
            </wp:positionH>
            <wp:positionV relativeFrom="paragraph">
              <wp:posOffset>27305</wp:posOffset>
            </wp:positionV>
            <wp:extent cx="1161415" cy="1151255"/>
            <wp:effectExtent l="0" t="0" r="63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3A921" w14:textId="77777777" w:rsidR="00DD2A2B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  <w:r>
        <w:rPr>
          <w:rFonts w:ascii="ＭＳ ゴシック" w:hAnsi="ＭＳ ゴシック" w:hint="eastAsia"/>
          <w:sz w:val="24"/>
          <w:szCs w:val="24"/>
          <w:lang w:eastAsia="ja-JP"/>
        </w:rPr>
        <w:t xml:space="preserve">　　　</w:t>
      </w:r>
    </w:p>
    <w:p w14:paraId="2A6C5013" w14:textId="77777777" w:rsidR="00DD2A2B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</w:p>
    <w:p w14:paraId="1848B0C3" w14:textId="77777777" w:rsidR="00DD2A2B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  <w:r>
        <w:rPr>
          <w:rFonts w:ascii="ＭＳ ゴシック" w:hAnsi="ＭＳ ゴシック" w:hint="eastAsia"/>
          <w:sz w:val="24"/>
          <w:szCs w:val="24"/>
          <w:lang w:eastAsia="ja-JP"/>
        </w:rPr>
        <w:t xml:space="preserve">　　　　　　　　</w:t>
      </w:r>
    </w:p>
    <w:p w14:paraId="37B1E3BC" w14:textId="77777777" w:rsidR="00DD2A2B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  <w:r>
        <w:rPr>
          <w:rFonts w:ascii="ＭＳ ゴシック" w:hAnsi="ＭＳ ゴシック" w:hint="eastAsia"/>
          <w:sz w:val="24"/>
          <w:szCs w:val="24"/>
          <w:lang w:eastAsia="ja-JP"/>
        </w:rPr>
        <w:t xml:space="preserve">　</w:t>
      </w:r>
    </w:p>
    <w:p w14:paraId="3E7A744B" w14:textId="77777777" w:rsidR="00DD2A2B" w:rsidRDefault="00DD2A2B" w:rsidP="00DD2A2B">
      <w:pPr>
        <w:spacing w:after="0" w:line="360" w:lineRule="exact"/>
        <w:ind w:firstLineChars="100" w:firstLine="240"/>
        <w:jc w:val="both"/>
        <w:rPr>
          <w:rFonts w:ascii="ＭＳ ゴシック" w:hAnsi="ＭＳ ゴシック"/>
          <w:sz w:val="24"/>
          <w:szCs w:val="24"/>
          <w:lang w:eastAsia="ja-JP"/>
        </w:rPr>
      </w:pPr>
    </w:p>
    <w:p w14:paraId="7ACC48A5" w14:textId="77777777" w:rsidR="00DD2A2B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  <w:r>
        <w:rPr>
          <w:rFonts w:ascii="ＭＳ ゴシック" w:hAnsi="ＭＳ ゴシック" w:hint="eastAsia"/>
          <w:sz w:val="24"/>
          <w:szCs w:val="24"/>
          <w:lang w:eastAsia="ja-JP"/>
        </w:rPr>
        <w:t xml:space="preserve">６　</w:t>
      </w:r>
      <w:r w:rsidRPr="00E63B6B">
        <w:rPr>
          <w:rFonts w:ascii="ＭＳ ゴシック" w:hAnsi="ＭＳ ゴシック" w:hint="eastAsia"/>
          <w:sz w:val="24"/>
          <w:szCs w:val="24"/>
          <w:lang w:eastAsia="ja-JP"/>
        </w:rPr>
        <w:t>マイナンバーカードの有効期限に関するＱ＆Ａ</w:t>
      </w:r>
    </w:p>
    <w:p w14:paraId="0A0BD542" w14:textId="77777777" w:rsidR="00DD2A2B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  <w:r>
        <w:rPr>
          <w:rFonts w:ascii="ＭＳ ゴシック" w:hAnsi="ＭＳ ゴシック" w:hint="eastAsia"/>
          <w:sz w:val="24"/>
          <w:szCs w:val="24"/>
          <w:lang w:eastAsia="ja-JP"/>
        </w:rPr>
        <w:t xml:space="preserve">　　</w:t>
      </w:r>
      <w:hyperlink r:id="rId18" w:history="1">
        <w:r w:rsidRPr="00FC2773">
          <w:rPr>
            <w:rStyle w:val="a3"/>
            <w:rFonts w:ascii="ＭＳ ゴシック" w:hAnsi="ＭＳ ゴシック"/>
            <w:sz w:val="24"/>
            <w:szCs w:val="24"/>
            <w:lang w:eastAsia="ja-JP"/>
          </w:rPr>
          <w:t>https://digital-gov.note.jp/n/nff8306c9b552</w:t>
        </w:r>
      </w:hyperlink>
    </w:p>
    <w:p w14:paraId="03010D70" w14:textId="09705EF9" w:rsidR="00DD2A2B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  <w:r>
        <w:rPr>
          <w:rFonts w:ascii="ＭＳ ゴシック" w:hAnsi="ＭＳ ゴシック"/>
          <w:noProof/>
          <w:sz w:val="24"/>
          <w:szCs w:val="24"/>
          <w:lang w:eastAsia="ja-JP"/>
        </w:rPr>
        <w:drawing>
          <wp:anchor distT="0" distB="0" distL="114300" distR="114300" simplePos="0" relativeHeight="251660288" behindDoc="0" locked="0" layoutInCell="1" allowOverlap="1" wp14:anchorId="4BC9EF87" wp14:editId="29825E82">
            <wp:simplePos x="0" y="0"/>
            <wp:positionH relativeFrom="column">
              <wp:posOffset>190500</wp:posOffset>
            </wp:positionH>
            <wp:positionV relativeFrom="paragraph">
              <wp:posOffset>40640</wp:posOffset>
            </wp:positionV>
            <wp:extent cx="1176020" cy="1196340"/>
            <wp:effectExtent l="0" t="0" r="5080" b="381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hAnsi="ＭＳ ゴシック" w:hint="eastAsia"/>
          <w:sz w:val="24"/>
          <w:szCs w:val="24"/>
          <w:lang w:eastAsia="ja-JP"/>
        </w:rPr>
        <w:t xml:space="preserve">　</w:t>
      </w:r>
    </w:p>
    <w:p w14:paraId="5A6D279A" w14:textId="77777777" w:rsidR="00DD2A2B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  <w:r>
        <w:rPr>
          <w:rFonts w:ascii="ＭＳ ゴシック" w:hAnsi="ＭＳ ゴシック" w:hint="eastAsia"/>
          <w:sz w:val="24"/>
          <w:szCs w:val="24"/>
          <w:lang w:eastAsia="ja-JP"/>
        </w:rPr>
        <w:t xml:space="preserve">　　</w:t>
      </w:r>
    </w:p>
    <w:p w14:paraId="28951557" w14:textId="77777777" w:rsidR="00DD2A2B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</w:p>
    <w:p w14:paraId="7A6085A4" w14:textId="77777777" w:rsidR="00DD2A2B" w:rsidRDefault="00DD2A2B" w:rsidP="00DD2A2B">
      <w:pPr>
        <w:spacing w:after="0" w:line="360" w:lineRule="exact"/>
        <w:jc w:val="both"/>
        <w:rPr>
          <w:rFonts w:ascii="ＭＳ 明朝" w:eastAsia="ＭＳ 明朝" w:hAnsi="ＭＳ 明朝"/>
          <w:lang w:eastAsia="ja-JP"/>
        </w:rPr>
      </w:pPr>
    </w:p>
    <w:p w14:paraId="63F3D904" w14:textId="77777777" w:rsidR="00DD2A2B" w:rsidRDefault="00DD2A2B" w:rsidP="00DD2A2B">
      <w:pPr>
        <w:spacing w:after="0" w:line="360" w:lineRule="exact"/>
        <w:jc w:val="both"/>
        <w:rPr>
          <w:rFonts w:ascii="ＭＳ 明朝" w:eastAsia="ＭＳ 明朝" w:hAnsi="ＭＳ 明朝"/>
          <w:lang w:eastAsia="ja-JP"/>
        </w:rPr>
      </w:pPr>
    </w:p>
    <w:p w14:paraId="1CD952C9" w14:textId="77777777" w:rsidR="00DD2A2B" w:rsidRDefault="00DD2A2B" w:rsidP="00DD2A2B">
      <w:pPr>
        <w:spacing w:after="0" w:line="360" w:lineRule="exact"/>
        <w:jc w:val="both"/>
        <w:rPr>
          <w:rFonts w:ascii="ＭＳ 明朝" w:eastAsia="ＭＳ 明朝" w:hAnsi="ＭＳ 明朝"/>
          <w:lang w:eastAsia="ja-JP"/>
        </w:rPr>
      </w:pPr>
    </w:p>
    <w:p w14:paraId="5849A4D0" w14:textId="77777777" w:rsidR="00DD2A2B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  <w:r>
        <w:rPr>
          <w:rFonts w:ascii="ＭＳ ゴシック" w:hAnsi="ＭＳ ゴシック" w:hint="eastAsia"/>
          <w:sz w:val="24"/>
          <w:szCs w:val="24"/>
          <w:lang w:eastAsia="ja-JP"/>
        </w:rPr>
        <w:t xml:space="preserve">７　</w:t>
      </w:r>
      <w:r w:rsidRPr="00FC2773">
        <w:rPr>
          <w:rFonts w:ascii="ＭＳ ゴシック" w:hAnsi="ＭＳ ゴシック" w:hint="eastAsia"/>
          <w:sz w:val="24"/>
          <w:szCs w:val="24"/>
          <w:lang w:eastAsia="ja-JP"/>
        </w:rPr>
        <w:t>所得税徴収高計算書（納付書）の記載のしかた</w:t>
      </w:r>
    </w:p>
    <w:p w14:paraId="1C449775" w14:textId="77777777" w:rsidR="00DD2A2B" w:rsidRDefault="00DD2A2B" w:rsidP="00DD2A2B">
      <w:pPr>
        <w:spacing w:after="0" w:line="360" w:lineRule="exact"/>
        <w:jc w:val="both"/>
        <w:rPr>
          <w:rFonts w:ascii="ＭＳ ゴシック" w:hAnsi="ＭＳ ゴシック"/>
          <w:sz w:val="24"/>
          <w:szCs w:val="24"/>
          <w:lang w:eastAsia="ja-JP"/>
        </w:rPr>
      </w:pPr>
      <w:r>
        <w:rPr>
          <w:rFonts w:ascii="ＭＳ ゴシック" w:hAnsi="ＭＳ ゴシック" w:hint="eastAsia"/>
          <w:sz w:val="24"/>
          <w:szCs w:val="24"/>
          <w:lang w:eastAsia="ja-JP"/>
        </w:rPr>
        <w:t xml:space="preserve">　　</w:t>
      </w:r>
      <w:hyperlink r:id="rId20" w:history="1">
        <w:r w:rsidRPr="00FC2773">
          <w:rPr>
            <w:rStyle w:val="a3"/>
            <w:rFonts w:ascii="ＭＳ ゴシック" w:hAnsi="ＭＳ ゴシック"/>
            <w:sz w:val="24"/>
            <w:szCs w:val="24"/>
            <w:lang w:eastAsia="ja-JP"/>
          </w:rPr>
          <w:t>https://www.nta.go.jp/publication/pamph/gensen/keisansho/01.htm</w:t>
        </w:r>
      </w:hyperlink>
    </w:p>
    <w:p w14:paraId="0E731975" w14:textId="4BDE4A7E" w:rsidR="00DD2A2B" w:rsidRPr="00367D7A" w:rsidRDefault="00DD2A2B" w:rsidP="00DD2A2B">
      <w:pPr>
        <w:spacing w:after="0" w:line="360" w:lineRule="exact"/>
        <w:jc w:val="both"/>
        <w:rPr>
          <w:rFonts w:ascii="ＭＳ 明朝" w:eastAsia="ＭＳ 明朝" w:hAnsi="ＭＳ 明朝"/>
          <w:lang w:eastAsia="ja-JP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F6E902" wp14:editId="45118313">
                <wp:simplePos x="0" y="0"/>
                <wp:positionH relativeFrom="column">
                  <wp:posOffset>-227965</wp:posOffset>
                </wp:positionH>
                <wp:positionV relativeFrom="paragraph">
                  <wp:posOffset>218440</wp:posOffset>
                </wp:positionV>
                <wp:extent cx="4535805" cy="306070"/>
                <wp:effectExtent l="635" t="0" r="0" b="0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80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0ABAE" w14:textId="77777777" w:rsidR="00DD2A2B" w:rsidRPr="0018496D" w:rsidRDefault="00DD2A2B" w:rsidP="00DD2A2B">
                            <w:pPr>
                              <w:spacing w:after="0" w:line="360" w:lineRule="exact"/>
                              <w:jc w:val="both"/>
                              <w:rPr>
                                <w:rFonts w:ascii="ＭＳ 明朝" w:eastAsia="ＭＳ 明朝" w:hAnsi="ＭＳ 明朝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（注）「</w:t>
                            </w:r>
                            <w:r w:rsidRPr="005049BE"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  <w:t>ＱＲコード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」</w:t>
                            </w:r>
                            <w:r w:rsidRPr="005049BE"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株式会社</w:t>
                            </w:r>
                            <w:r w:rsidRPr="005049BE"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  <w:t>デンソーウェーブの登録商標です</w:t>
                            </w:r>
                            <w:r w:rsidRPr="0018496D">
                              <w:rPr>
                                <w:rFonts w:ascii="ＭＳ 明朝" w:eastAsia="ＭＳ 明朝" w:hAnsi="ＭＳ 明朝"/>
                                <w:sz w:val="18"/>
                                <w:lang w:eastAsia="ja-JP"/>
                              </w:rPr>
                              <w:t>。</w:t>
                            </w:r>
                          </w:p>
                          <w:p w14:paraId="34E7060F" w14:textId="77777777" w:rsidR="00DD2A2B" w:rsidRDefault="00DD2A2B" w:rsidP="00DD2A2B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6E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7.95pt;margin-top:17.2pt;width:357.15pt;height:24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" filled="f" stroked="f">
                <v:textbox>
                  <w:txbxContent>
                    <w:p w14:paraId="3EA0ABAE" w14:textId="77777777" w:rsidR="00DD2A2B" w:rsidRPr="0018496D" w:rsidRDefault="00DD2A2B" w:rsidP="00DD2A2B">
                      <w:pPr>
                        <w:spacing w:after="0" w:line="360" w:lineRule="exact"/>
                        <w:jc w:val="both"/>
                        <w:rPr>
                          <w:rFonts w:ascii="ＭＳ 明朝" w:eastAsia="ＭＳ 明朝" w:hAnsi="ＭＳ 明朝" w:hint="eastAsia"/>
                          <w:sz w:val="18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eastAsia="ja-JP"/>
                        </w:rPr>
                        <w:t>（注）「</w:t>
                      </w:r>
                      <w:r w:rsidRPr="005049BE">
                        <w:rPr>
                          <w:rFonts w:ascii="ＭＳ 明朝" w:eastAsia="ＭＳ 明朝" w:hAnsi="ＭＳ 明朝"/>
                          <w:lang w:eastAsia="ja-JP"/>
                        </w:rPr>
                        <w:t>ＱＲコード</w:t>
                      </w:r>
                      <w:r>
                        <w:rPr>
                          <w:rFonts w:ascii="ＭＳ 明朝" w:eastAsia="ＭＳ 明朝" w:hAnsi="ＭＳ 明朝" w:hint="eastAsia"/>
                          <w:lang w:eastAsia="ja-JP"/>
                        </w:rPr>
                        <w:t>」</w:t>
                      </w:r>
                      <w:r w:rsidRPr="005049BE">
                        <w:rPr>
                          <w:rFonts w:ascii="ＭＳ 明朝" w:eastAsia="ＭＳ 明朝" w:hAnsi="ＭＳ 明朝"/>
                          <w:lang w:eastAsia="ja-JP"/>
                        </w:rPr>
                        <w:t>は</w:t>
                      </w:r>
                      <w:r>
                        <w:rPr>
                          <w:rFonts w:ascii="ＭＳ 明朝" w:eastAsia="ＭＳ 明朝" w:hAnsi="ＭＳ 明朝" w:hint="eastAsia"/>
                          <w:lang w:eastAsia="ja-JP"/>
                        </w:rPr>
                        <w:t>株式会社</w:t>
                      </w:r>
                      <w:r w:rsidRPr="005049BE">
                        <w:rPr>
                          <w:rFonts w:ascii="ＭＳ 明朝" w:eastAsia="ＭＳ 明朝" w:hAnsi="ＭＳ 明朝"/>
                          <w:lang w:eastAsia="ja-JP"/>
                        </w:rPr>
                        <w:t>デンソーウェーブの登録商標です</w:t>
                      </w:r>
                      <w:r w:rsidRPr="0018496D">
                        <w:rPr>
                          <w:rFonts w:ascii="ＭＳ 明朝" w:eastAsia="ＭＳ 明朝" w:hAnsi="ＭＳ 明朝"/>
                          <w:sz w:val="18"/>
                          <w:lang w:eastAsia="ja-JP"/>
                        </w:rPr>
                        <w:t>。</w:t>
                      </w:r>
                    </w:p>
                    <w:p w14:paraId="34E7060F" w14:textId="77777777" w:rsidR="00DD2A2B" w:rsidRDefault="00DD2A2B" w:rsidP="00DD2A2B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A44896" w14:textId="0BED0C5D" w:rsidR="00DD2A2B" w:rsidRDefault="00DD2A2B" w:rsidP="00DD2A2B">
      <w:pPr>
        <w:spacing w:after="0" w:line="360" w:lineRule="exact"/>
        <w:jc w:val="both"/>
        <w:rPr>
          <w:rFonts w:ascii="ＭＳ 明朝" w:eastAsia="ＭＳ 明朝" w:hAnsi="ＭＳ 明朝"/>
          <w:lang w:eastAsia="ja-JP"/>
        </w:rPr>
      </w:pPr>
    </w:p>
    <w:p w14:paraId="20000DA6" w14:textId="3D18662E" w:rsidR="00981E36" w:rsidRDefault="00981E36" w:rsidP="00DD2A2B">
      <w:pPr>
        <w:spacing w:after="0" w:line="360" w:lineRule="exact"/>
        <w:jc w:val="both"/>
        <w:rPr>
          <w:rFonts w:ascii="ＭＳ 明朝" w:eastAsia="ＭＳ 明朝" w:hAnsi="ＭＳ 明朝"/>
          <w:lang w:eastAsia="ja-JP"/>
        </w:rPr>
      </w:pPr>
    </w:p>
    <w:p w14:paraId="0448284C" w14:textId="4CCCF79A" w:rsidR="00DD2A2B" w:rsidRPr="00981E36" w:rsidRDefault="00981E36" w:rsidP="00981E36">
      <w:pPr>
        <w:spacing w:after="0" w:line="360" w:lineRule="exact"/>
        <w:ind w:left="240" w:hangingChars="100" w:hanging="240"/>
        <w:jc w:val="both"/>
        <w:rPr>
          <w:rFonts w:ascii="ＭＳ 明朝" w:eastAsia="ＭＳ 明朝" w:hAnsi="ＭＳ 明朝" w:hint="eastAsia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※　上記</w:t>
      </w:r>
      <w:r w:rsidRPr="00CF3133">
        <w:rPr>
          <w:rFonts w:ascii="ＭＳ 明朝" w:eastAsia="ＭＳ 明朝" w:hAnsi="ＭＳ 明朝" w:hint="eastAsia"/>
          <w:sz w:val="24"/>
          <w:szCs w:val="24"/>
          <w:lang w:eastAsia="ja-JP"/>
        </w:rPr>
        <w:t>の２～６について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>は</w:t>
      </w:r>
      <w:r w:rsidRPr="00CF3133">
        <w:rPr>
          <w:rFonts w:ascii="ＭＳ 明朝" w:eastAsia="ＭＳ 明朝" w:hAnsi="ＭＳ 明朝" w:hint="eastAsia"/>
          <w:sz w:val="24"/>
          <w:szCs w:val="24"/>
          <w:lang w:eastAsia="ja-JP"/>
        </w:rPr>
        <w:t>、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>ホームページや</w:t>
      </w:r>
      <w:r w:rsidRPr="00CF3133">
        <w:rPr>
          <w:rFonts w:ascii="ＭＳ 明朝" w:eastAsia="ＭＳ 明朝" w:hAnsi="ＭＳ 明朝" w:hint="eastAsia"/>
          <w:sz w:val="24"/>
          <w:szCs w:val="24"/>
          <w:lang w:eastAsia="ja-JP"/>
        </w:rPr>
        <w:t>機関紙（誌）等へ掲載していただきますよう御協力をお願いいたします。</w:t>
      </w:r>
    </w:p>
    <w:sectPr w:rsidR="00DD2A2B" w:rsidRPr="00981E36" w:rsidSect="00DD2A2B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28E2" w14:textId="77777777" w:rsidR="002E158A" w:rsidRDefault="002E158A" w:rsidP="0005465B">
      <w:pPr>
        <w:spacing w:after="0"/>
      </w:pPr>
      <w:r>
        <w:separator/>
      </w:r>
    </w:p>
  </w:endnote>
  <w:endnote w:type="continuationSeparator" w:id="0">
    <w:p w14:paraId="2281EF32" w14:textId="77777777" w:rsidR="002E158A" w:rsidRDefault="002E158A" w:rsidP="000546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3EC5" w14:textId="77777777" w:rsidR="002E158A" w:rsidRDefault="002E158A" w:rsidP="0005465B">
      <w:pPr>
        <w:spacing w:after="0"/>
      </w:pPr>
      <w:r>
        <w:separator/>
      </w:r>
    </w:p>
  </w:footnote>
  <w:footnote w:type="continuationSeparator" w:id="0">
    <w:p w14:paraId="6C5AF5AE" w14:textId="77777777" w:rsidR="002E158A" w:rsidRDefault="002E158A" w:rsidP="000546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2B"/>
    <w:rsid w:val="0005465B"/>
    <w:rsid w:val="002E158A"/>
    <w:rsid w:val="0063659A"/>
    <w:rsid w:val="0087383F"/>
    <w:rsid w:val="00981E36"/>
    <w:rsid w:val="00DD2A2B"/>
    <w:rsid w:val="00F8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529BF"/>
  <w15:chartTrackingRefBased/>
  <w15:docId w15:val="{6B3C7523-2055-4B75-A6A5-1AA01081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A2B"/>
    <w:pPr>
      <w:spacing w:after="200"/>
    </w:pPr>
    <w:rPr>
      <w:rFonts w:ascii="Arial" w:eastAsia="ＭＳ ゴシック" w:hAnsi="Arial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2A2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46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65B"/>
    <w:rPr>
      <w:rFonts w:ascii="Arial" w:eastAsia="ＭＳ ゴシック" w:hAnsi="Arial" w:cs="Times New Roman"/>
      <w:kern w:val="0"/>
      <w:sz w:val="22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054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65B"/>
    <w:rPr>
      <w:rFonts w:ascii="Arial" w:eastAsia="ＭＳ ゴシック" w:hAnsi="Arial" w:cs="Times New Roman"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hyperlink" Target="https://digital-gov.note.jp/n/nff8306c9b55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nta.go.jp/users/gensen/nencho/index.htm" TargetMode="External"/><Relationship Id="rId12" Type="http://schemas.openxmlformats.org/officeDocument/2006/relationships/hyperlink" Target="https://www.nta.go.jp/users/gensen/nenmatsu/nencho.htm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www.nta.go.jp/taxes/tetsuzuki/mynumberinfo/pdf/0025004-071.pdf" TargetMode="External"/><Relationship Id="rId20" Type="http://schemas.openxmlformats.org/officeDocument/2006/relationships/hyperlink" Target="https://www.nta.go.jp/publication/pamph/gensen/keisansho/01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ta.go.jp/users/gensen/2025kiso/index.htm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www.nta.go.jp/users/gensen/nencho/index/gensen_nouzei/cashless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1200</Characters>
  <Application>Microsoft Office Word</Application>
  <DocSecurity>0</DocSecurity>
  <Lines>10</Lines>
  <Paragraphs>2</Paragraphs>
  <ScaleCrop>false</ScaleCrop>
  <Company>国税庁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源監１</dc:creator>
  <cp:keywords/>
  <dc:description/>
  <cp:lastModifiedBy>源監　谷本</cp:lastModifiedBy>
  <cp:revision>2</cp:revision>
  <dcterms:created xsi:type="dcterms:W3CDTF">2025-07-24T06:42:00Z</dcterms:created>
  <dcterms:modified xsi:type="dcterms:W3CDTF">2025-07-24T06:42:00Z</dcterms:modified>
</cp:coreProperties>
</file>